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EB2F98" w:rsidRDefault="00EB2F98" w:rsidP="00523805">
      <w:pPr>
        <w:ind w:firstLine="0"/>
        <w:jc w:val="center"/>
        <w:rPr>
          <w:rFonts w:ascii="Times New Roman" w:hAnsi="Times New Roman" w:cs="Times New Roman"/>
          <w:sz w:val="24"/>
          <w:szCs w:val="24"/>
        </w:rPr>
      </w:pPr>
    </w:p>
    <w:p w:rsidR="000F441B" w:rsidRDefault="00AA3ADC" w:rsidP="00523805">
      <w:pPr>
        <w:ind w:firstLine="0"/>
        <w:jc w:val="center"/>
        <w:rPr>
          <w:rFonts w:ascii="Times New Roman" w:hAnsi="Times New Roman" w:cs="Times New Roman"/>
          <w:sz w:val="24"/>
          <w:szCs w:val="24"/>
        </w:rPr>
      </w:pPr>
      <w:r>
        <w:rPr>
          <w:rFonts w:ascii="Times New Roman" w:hAnsi="Times New Roman" w:cs="Times New Roman"/>
          <w:sz w:val="24"/>
          <w:szCs w:val="24"/>
        </w:rPr>
        <w:t>H</w:t>
      </w:r>
      <w:r w:rsidRPr="00AA3ADC">
        <w:rPr>
          <w:rFonts w:ascii="Times New Roman" w:hAnsi="Times New Roman" w:cs="Times New Roman"/>
          <w:sz w:val="24"/>
          <w:szCs w:val="24"/>
        </w:rPr>
        <w:t xml:space="preserve">ierarchical versus </w:t>
      </w:r>
      <w:r>
        <w:rPr>
          <w:rFonts w:ascii="Times New Roman" w:hAnsi="Times New Roman" w:cs="Times New Roman"/>
          <w:sz w:val="24"/>
          <w:szCs w:val="24"/>
        </w:rPr>
        <w:t>E</w:t>
      </w:r>
      <w:r w:rsidRPr="00AA3ADC">
        <w:rPr>
          <w:rFonts w:ascii="Times New Roman" w:hAnsi="Times New Roman" w:cs="Times New Roman"/>
          <w:sz w:val="24"/>
          <w:szCs w:val="24"/>
        </w:rPr>
        <w:t>galitarian relationships</w:t>
      </w:r>
    </w:p>
    <w:p w:rsidR="00EB2F98" w:rsidRDefault="00EB2F98" w:rsidP="00523805">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EB2F98" w:rsidRDefault="00EB2F98" w:rsidP="00523805">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2F98" w:rsidRDefault="00EB2F98">
      <w:pPr>
        <w:rPr>
          <w:rFonts w:ascii="Times New Roman" w:hAnsi="Times New Roman" w:cs="Times New Roman"/>
          <w:sz w:val="24"/>
          <w:szCs w:val="24"/>
        </w:rPr>
      </w:pPr>
      <w:r>
        <w:rPr>
          <w:rFonts w:ascii="Times New Roman" w:hAnsi="Times New Roman" w:cs="Times New Roman"/>
          <w:sz w:val="24"/>
          <w:szCs w:val="24"/>
        </w:rPr>
        <w:br w:type="page"/>
      </w:r>
    </w:p>
    <w:p w:rsidR="00EB2F98" w:rsidRDefault="00EB2F98" w:rsidP="00EB2F98">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H</w:t>
      </w:r>
      <w:r w:rsidRPr="00AA3ADC">
        <w:rPr>
          <w:rFonts w:ascii="Times New Roman" w:hAnsi="Times New Roman" w:cs="Times New Roman"/>
          <w:sz w:val="24"/>
          <w:szCs w:val="24"/>
        </w:rPr>
        <w:t xml:space="preserve">ierarchical versus </w:t>
      </w:r>
      <w:r>
        <w:rPr>
          <w:rFonts w:ascii="Times New Roman" w:hAnsi="Times New Roman" w:cs="Times New Roman"/>
          <w:sz w:val="24"/>
          <w:szCs w:val="24"/>
        </w:rPr>
        <w:t>E</w:t>
      </w:r>
      <w:r w:rsidRPr="00AA3ADC">
        <w:rPr>
          <w:rFonts w:ascii="Times New Roman" w:hAnsi="Times New Roman" w:cs="Times New Roman"/>
          <w:sz w:val="24"/>
          <w:szCs w:val="24"/>
        </w:rPr>
        <w:t>galitarian relationships</w:t>
      </w:r>
    </w:p>
    <w:p w:rsidR="00EB2F98" w:rsidRPr="00EB2F98" w:rsidRDefault="00EB2F98" w:rsidP="00EB2F98">
      <w:pPr>
        <w:jc w:val="both"/>
        <w:rPr>
          <w:rFonts w:ascii="Times New Roman" w:hAnsi="Times New Roman" w:cs="Times New Roman"/>
          <w:sz w:val="24"/>
          <w:szCs w:val="24"/>
        </w:rPr>
      </w:pPr>
      <w:r w:rsidRPr="00EB2F98">
        <w:rPr>
          <w:rFonts w:ascii="Times New Roman" w:hAnsi="Times New Roman" w:cs="Times New Roman"/>
          <w:sz w:val="24"/>
          <w:szCs w:val="24"/>
        </w:rPr>
        <w:t>In every family, there is a set of procedures that need to be followed by all members. There are those families where interaction between parents and children is based on respect, whereby the parents and children interact within a given level of understanding and respect. In such a family, the parents take an active role in leading the family, and the children are expected to follow whatever the parents propose. This kind of relationship is what is referred to as a hierarchical relationship, as it is based on specific rules and procedures.  There is also another family relationship that has gain acceptance in the modern-day family. This is an egalitarian relationship. In such a relationship, there is openness in the interaction between husband and wife and siblings. Parents interact openly in carrying out family duties and responsibilities through open discussion and decision making</w:t>
      </w:r>
      <w:sdt>
        <w:sdtPr>
          <w:rPr>
            <w:rFonts w:ascii="Times New Roman" w:hAnsi="Times New Roman" w:cs="Times New Roman"/>
            <w:sz w:val="24"/>
            <w:szCs w:val="24"/>
          </w:rPr>
          <w:id w:val="-71850872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Lau17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B2F98">
            <w:rPr>
              <w:rFonts w:ascii="Times New Roman" w:hAnsi="Times New Roman" w:cs="Times New Roman"/>
              <w:noProof/>
              <w:sz w:val="24"/>
              <w:szCs w:val="24"/>
            </w:rPr>
            <w:t>(Laursen &amp; Bukowski, 2017)</w:t>
          </w:r>
          <w:r>
            <w:rPr>
              <w:rFonts w:ascii="Times New Roman" w:hAnsi="Times New Roman" w:cs="Times New Roman"/>
              <w:sz w:val="24"/>
              <w:szCs w:val="24"/>
            </w:rPr>
            <w:fldChar w:fldCharType="end"/>
          </w:r>
        </w:sdtContent>
      </w:sdt>
      <w:r w:rsidRPr="00EB2F98">
        <w:rPr>
          <w:rFonts w:ascii="Times New Roman" w:hAnsi="Times New Roman" w:cs="Times New Roman"/>
          <w:sz w:val="24"/>
          <w:szCs w:val="24"/>
        </w:rPr>
        <w:t xml:space="preserve">. Children, on the other hand, have an open relationship, and responsibilities within the family are carried out collectively. </w:t>
      </w:r>
    </w:p>
    <w:p w:rsidR="00EB2F98" w:rsidRPr="00EB2F98" w:rsidRDefault="00EB2F98" w:rsidP="00EB2F98">
      <w:pPr>
        <w:jc w:val="both"/>
        <w:rPr>
          <w:rFonts w:ascii="Times New Roman" w:hAnsi="Times New Roman" w:cs="Times New Roman"/>
          <w:sz w:val="24"/>
          <w:szCs w:val="24"/>
        </w:rPr>
      </w:pPr>
      <w:r w:rsidRPr="00EB2F98">
        <w:rPr>
          <w:rFonts w:ascii="Times New Roman" w:hAnsi="Times New Roman" w:cs="Times New Roman"/>
          <w:sz w:val="24"/>
          <w:szCs w:val="24"/>
        </w:rPr>
        <w:t>Both family relationships are essential and effective in their own way, but what I would prefer in a modern family is the egalitarian relationship. In today’s world, where most parents are working, it becomes necessary for both of them to take an active role in bringing up the children. Today both parents get involved in taking their kids to school as well as pay family bills. This has an effect of enhancing the relationship between parents and children as there is openness in decision making. Such parent also acts as role models for their children as they admire the way the family is run</w:t>
      </w:r>
      <w:sdt>
        <w:sdtPr>
          <w:rPr>
            <w:rFonts w:ascii="Times New Roman" w:hAnsi="Times New Roman" w:cs="Times New Roman"/>
            <w:sz w:val="24"/>
            <w:szCs w:val="24"/>
          </w:rPr>
          <w:id w:val="42643203"/>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Lau17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B2F98">
            <w:rPr>
              <w:rFonts w:ascii="Times New Roman" w:hAnsi="Times New Roman" w:cs="Times New Roman"/>
              <w:noProof/>
              <w:sz w:val="24"/>
              <w:szCs w:val="24"/>
            </w:rPr>
            <w:t>(Laursen &amp; Bukowski, 2017)</w:t>
          </w:r>
          <w:r>
            <w:rPr>
              <w:rFonts w:ascii="Times New Roman" w:hAnsi="Times New Roman" w:cs="Times New Roman"/>
              <w:sz w:val="24"/>
              <w:szCs w:val="24"/>
            </w:rPr>
            <w:fldChar w:fldCharType="end"/>
          </w:r>
        </w:sdtContent>
      </w:sdt>
      <w:r w:rsidRPr="00EB2F98">
        <w:rPr>
          <w:rFonts w:ascii="Times New Roman" w:hAnsi="Times New Roman" w:cs="Times New Roman"/>
          <w:sz w:val="24"/>
          <w:szCs w:val="24"/>
        </w:rPr>
        <w:t xml:space="preserve">. Children are open to sharing anything that is affecting them within themselves and their parents due to the close relationship between them as opposed to the hierarchical family relationship where children are afraid of discussing certain issues with their parents. </w:t>
      </w:r>
    </w:p>
    <w:p w:rsidR="00EB2F98" w:rsidRPr="00EB2F98" w:rsidRDefault="00EB2F98" w:rsidP="00EB2F98">
      <w:pPr>
        <w:jc w:val="both"/>
        <w:rPr>
          <w:rFonts w:ascii="Times New Roman" w:hAnsi="Times New Roman" w:cs="Times New Roman"/>
          <w:sz w:val="24"/>
          <w:szCs w:val="24"/>
        </w:rPr>
      </w:pPr>
      <w:r w:rsidRPr="00EB2F98">
        <w:rPr>
          <w:rFonts w:ascii="Times New Roman" w:hAnsi="Times New Roman" w:cs="Times New Roman"/>
          <w:sz w:val="24"/>
          <w:szCs w:val="24"/>
        </w:rPr>
        <w:lastRenderedPageBreak/>
        <w:t>As a counselor, there is a need for one to be accommodative to both family relationships. This is because the practice involves handling cases involving different families who may have different relationships. However, solving a case involving an egalitarian family may be easier than that involving hierarchical family members may be open to sharing issues affecting them</w:t>
      </w:r>
      <w:sdt>
        <w:sdtPr>
          <w:rPr>
            <w:rFonts w:ascii="Times New Roman" w:hAnsi="Times New Roman" w:cs="Times New Roman"/>
            <w:sz w:val="24"/>
            <w:szCs w:val="24"/>
          </w:rPr>
          <w:id w:val="1355386248"/>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Rol15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B2F98">
            <w:rPr>
              <w:rFonts w:ascii="Times New Roman" w:hAnsi="Times New Roman" w:cs="Times New Roman"/>
              <w:noProof/>
              <w:sz w:val="24"/>
              <w:szCs w:val="24"/>
            </w:rPr>
            <w:t>(Rolland, 2015)</w:t>
          </w:r>
          <w:r>
            <w:rPr>
              <w:rFonts w:ascii="Times New Roman" w:hAnsi="Times New Roman" w:cs="Times New Roman"/>
              <w:sz w:val="24"/>
              <w:szCs w:val="24"/>
            </w:rPr>
            <w:fldChar w:fldCharType="end"/>
          </w:r>
        </w:sdtContent>
      </w:sdt>
      <w:r w:rsidRPr="00EB2F98">
        <w:rPr>
          <w:rFonts w:ascii="Times New Roman" w:hAnsi="Times New Roman" w:cs="Times New Roman"/>
          <w:sz w:val="24"/>
          <w:szCs w:val="24"/>
        </w:rPr>
        <w:t xml:space="preserve">. In such a practice, I need to strike a balance between the two types of relationships in order to avoid shortcomings in my service delivery. </w:t>
      </w:r>
    </w:p>
    <w:p w:rsidR="001E6497" w:rsidRDefault="00EB2F98" w:rsidP="00EB2F98">
      <w:pPr>
        <w:jc w:val="both"/>
        <w:rPr>
          <w:rFonts w:ascii="Times New Roman" w:hAnsi="Times New Roman" w:cs="Times New Roman"/>
          <w:sz w:val="24"/>
          <w:szCs w:val="24"/>
        </w:rPr>
      </w:pPr>
      <w:r w:rsidRPr="00EB2F98">
        <w:rPr>
          <w:rFonts w:ascii="Times New Roman" w:hAnsi="Times New Roman" w:cs="Times New Roman"/>
          <w:sz w:val="24"/>
          <w:szCs w:val="24"/>
        </w:rPr>
        <w:t xml:space="preserve">The LBGT population is faced with a lot of misconceptions form the society surrounding them. One </w:t>
      </w:r>
      <w:r w:rsidRPr="00EB2F98">
        <w:rPr>
          <w:rFonts w:ascii="Times New Roman" w:hAnsi="Times New Roman" w:cs="Times New Roman"/>
          <w:sz w:val="24"/>
          <w:szCs w:val="24"/>
        </w:rPr>
        <w:t>of</w:t>
      </w:r>
      <w:bookmarkStart w:id="0" w:name="_GoBack"/>
      <w:bookmarkEnd w:id="0"/>
      <w:r w:rsidRPr="00EB2F98">
        <w:rPr>
          <w:rFonts w:ascii="Times New Roman" w:hAnsi="Times New Roman" w:cs="Times New Roman"/>
          <w:sz w:val="24"/>
          <w:szCs w:val="24"/>
        </w:rPr>
        <w:t xml:space="preserve"> the misconception that the population face is that being an LBGT is a psychological problem. In reality, there is no pathological problem to being an LGBT.  The other misconception is that this population has the same political, income, and appearance ideologies. But in reality, LBGT individuals come from all walks of life. The other common one is that the discrimination toward them does not affect their health</w:t>
      </w:r>
      <w:sdt>
        <w:sdtPr>
          <w:rPr>
            <w:rFonts w:ascii="Times New Roman" w:hAnsi="Times New Roman" w:cs="Times New Roman"/>
            <w:sz w:val="24"/>
            <w:szCs w:val="24"/>
          </w:rPr>
          <w:id w:val="231978116"/>
          <w:citation/>
        </w:sdt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Rob17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EB2F98">
            <w:rPr>
              <w:rFonts w:ascii="Times New Roman" w:hAnsi="Times New Roman" w:cs="Times New Roman"/>
              <w:noProof/>
              <w:sz w:val="24"/>
              <w:szCs w:val="24"/>
            </w:rPr>
            <w:t>(Robert, Maureen, &amp; Adriana, 2017)</w:t>
          </w:r>
          <w:r>
            <w:rPr>
              <w:rFonts w:ascii="Times New Roman" w:hAnsi="Times New Roman" w:cs="Times New Roman"/>
              <w:sz w:val="24"/>
              <w:szCs w:val="24"/>
            </w:rPr>
            <w:fldChar w:fldCharType="end"/>
          </w:r>
        </w:sdtContent>
      </w:sdt>
      <w:r>
        <w:rPr>
          <w:rFonts w:ascii="Times New Roman" w:hAnsi="Times New Roman" w:cs="Times New Roman"/>
          <w:sz w:val="24"/>
          <w:szCs w:val="24"/>
        </w:rPr>
        <w:t>. R</w:t>
      </w:r>
      <w:r w:rsidRPr="00EB2F98">
        <w:rPr>
          <w:rFonts w:ascii="Times New Roman" w:hAnsi="Times New Roman" w:cs="Times New Roman"/>
          <w:sz w:val="24"/>
          <w:szCs w:val="24"/>
        </w:rPr>
        <w:t xml:space="preserve">esearch has proven that the population suffers from depression and anxiety, which is linked to ill-treatment from those surrounding them. </w:t>
      </w:r>
      <w:r w:rsidR="001E6497">
        <w:rPr>
          <w:rFonts w:ascii="Times New Roman" w:hAnsi="Times New Roman" w:cs="Times New Roman"/>
          <w:sz w:val="24"/>
          <w:szCs w:val="24"/>
        </w:rPr>
        <w:br w:type="page"/>
      </w:r>
    </w:p>
    <w:p w:rsidR="006C1EBA" w:rsidRPr="00EB2F98" w:rsidRDefault="001E6497" w:rsidP="00EB2F98">
      <w:pPr>
        <w:ind w:firstLine="0"/>
        <w:jc w:val="center"/>
        <w:rPr>
          <w:rFonts w:ascii="Times New Roman" w:hAnsi="Times New Roman" w:cs="Times New Roman"/>
          <w:sz w:val="24"/>
          <w:szCs w:val="24"/>
        </w:rPr>
      </w:pPr>
      <w:r w:rsidRPr="00EB2F98">
        <w:rPr>
          <w:rFonts w:ascii="Times New Roman" w:hAnsi="Times New Roman" w:cs="Times New Roman"/>
          <w:sz w:val="24"/>
          <w:szCs w:val="24"/>
        </w:rPr>
        <w:lastRenderedPageBreak/>
        <w:t>Reference</w:t>
      </w:r>
    </w:p>
    <w:p w:rsidR="00EB2F98" w:rsidRPr="00EB2F98" w:rsidRDefault="00EB2F98" w:rsidP="00EB2F98">
      <w:pPr>
        <w:pStyle w:val="Bibliography"/>
        <w:ind w:left="720" w:hanging="720"/>
        <w:rPr>
          <w:rFonts w:ascii="Times New Roman" w:hAnsi="Times New Roman" w:cs="Times New Roman"/>
          <w:noProof/>
          <w:sz w:val="24"/>
          <w:szCs w:val="24"/>
        </w:rPr>
      </w:pPr>
      <w:r w:rsidRPr="00EB2F98">
        <w:rPr>
          <w:rFonts w:ascii="Times New Roman" w:hAnsi="Times New Roman" w:cs="Times New Roman"/>
          <w:sz w:val="24"/>
          <w:szCs w:val="24"/>
        </w:rPr>
        <w:fldChar w:fldCharType="begin"/>
      </w:r>
      <w:r w:rsidRPr="00EB2F98">
        <w:rPr>
          <w:rFonts w:ascii="Times New Roman" w:hAnsi="Times New Roman" w:cs="Times New Roman"/>
          <w:sz w:val="24"/>
          <w:szCs w:val="24"/>
        </w:rPr>
        <w:instrText xml:space="preserve"> BIBLIOGRAPHY  \l 1033 </w:instrText>
      </w:r>
      <w:r w:rsidRPr="00EB2F98">
        <w:rPr>
          <w:rFonts w:ascii="Times New Roman" w:hAnsi="Times New Roman" w:cs="Times New Roman"/>
          <w:sz w:val="24"/>
          <w:szCs w:val="24"/>
        </w:rPr>
        <w:fldChar w:fldCharType="separate"/>
      </w:r>
      <w:r w:rsidRPr="00EB2F98">
        <w:rPr>
          <w:rFonts w:ascii="Times New Roman" w:hAnsi="Times New Roman" w:cs="Times New Roman"/>
          <w:noProof/>
          <w:sz w:val="24"/>
          <w:szCs w:val="24"/>
        </w:rPr>
        <w:t xml:space="preserve">Laursen, B., &amp; Bukowski, W. (2017). A developmental guide to the organisation of close relationships. </w:t>
      </w:r>
      <w:r w:rsidRPr="00EB2F98">
        <w:rPr>
          <w:rFonts w:ascii="Times New Roman" w:hAnsi="Times New Roman" w:cs="Times New Roman"/>
          <w:i/>
          <w:iCs/>
          <w:noProof/>
          <w:sz w:val="24"/>
          <w:szCs w:val="24"/>
        </w:rPr>
        <w:t>International Journal of Behavioral Development</w:t>
      </w:r>
      <w:r w:rsidRPr="00EB2F98">
        <w:rPr>
          <w:rFonts w:ascii="Times New Roman" w:hAnsi="Times New Roman" w:cs="Times New Roman"/>
          <w:noProof/>
          <w:sz w:val="24"/>
          <w:szCs w:val="24"/>
        </w:rPr>
        <w:t>, 47-70.</w:t>
      </w:r>
    </w:p>
    <w:p w:rsidR="00EB2F98" w:rsidRPr="00EB2F98" w:rsidRDefault="00EB2F98" w:rsidP="00EB2F98">
      <w:pPr>
        <w:pStyle w:val="Bibliography"/>
        <w:ind w:left="720" w:hanging="720"/>
        <w:rPr>
          <w:rFonts w:ascii="Times New Roman" w:hAnsi="Times New Roman" w:cs="Times New Roman"/>
          <w:noProof/>
          <w:sz w:val="24"/>
          <w:szCs w:val="24"/>
        </w:rPr>
      </w:pPr>
      <w:r w:rsidRPr="00EB2F98">
        <w:rPr>
          <w:rFonts w:ascii="Times New Roman" w:hAnsi="Times New Roman" w:cs="Times New Roman"/>
          <w:noProof/>
          <w:sz w:val="24"/>
          <w:szCs w:val="24"/>
        </w:rPr>
        <w:t xml:space="preserve">Robert, L., Maureen, C., &amp; Adriana, G. (2017). Myths and Misconceptions About LGBTQ Youth: School Counselors’ Role in Advocacy. </w:t>
      </w:r>
      <w:r w:rsidRPr="00EB2F98">
        <w:rPr>
          <w:rFonts w:ascii="Times New Roman" w:hAnsi="Times New Roman" w:cs="Times New Roman"/>
          <w:i/>
          <w:iCs/>
          <w:noProof/>
          <w:sz w:val="24"/>
          <w:szCs w:val="24"/>
        </w:rPr>
        <w:t>Journal of School Counseling</w:t>
      </w:r>
      <w:r w:rsidRPr="00EB2F98">
        <w:rPr>
          <w:rFonts w:ascii="Times New Roman" w:hAnsi="Times New Roman" w:cs="Times New Roman"/>
          <w:noProof/>
          <w:sz w:val="24"/>
          <w:szCs w:val="24"/>
        </w:rPr>
        <w:t>, 3-26.</w:t>
      </w:r>
    </w:p>
    <w:p w:rsidR="00EB2F98" w:rsidRPr="00EB2F98" w:rsidRDefault="00EB2F98" w:rsidP="00EB2F98">
      <w:pPr>
        <w:pStyle w:val="Bibliography"/>
        <w:ind w:left="720" w:hanging="720"/>
        <w:rPr>
          <w:rFonts w:ascii="Times New Roman" w:hAnsi="Times New Roman" w:cs="Times New Roman"/>
          <w:noProof/>
          <w:sz w:val="24"/>
          <w:szCs w:val="24"/>
        </w:rPr>
      </w:pPr>
      <w:r w:rsidRPr="00EB2F98">
        <w:rPr>
          <w:rFonts w:ascii="Times New Roman" w:hAnsi="Times New Roman" w:cs="Times New Roman"/>
          <w:noProof/>
          <w:sz w:val="24"/>
          <w:szCs w:val="24"/>
        </w:rPr>
        <w:t xml:space="preserve">Rolland, J. (2015). Advancing family involvement in collaborative health care. </w:t>
      </w:r>
      <w:r w:rsidRPr="00EB2F98">
        <w:rPr>
          <w:rFonts w:ascii="Times New Roman" w:hAnsi="Times New Roman" w:cs="Times New Roman"/>
          <w:i/>
          <w:iCs/>
          <w:noProof/>
          <w:sz w:val="24"/>
          <w:szCs w:val="24"/>
        </w:rPr>
        <w:t>Next steps</w:t>
      </w:r>
      <w:r w:rsidRPr="00EB2F98">
        <w:rPr>
          <w:rFonts w:ascii="Times New Roman" w:hAnsi="Times New Roman" w:cs="Times New Roman"/>
          <w:noProof/>
          <w:sz w:val="24"/>
          <w:szCs w:val="24"/>
        </w:rPr>
        <w:t>, 104.</w:t>
      </w:r>
    </w:p>
    <w:p w:rsidR="00EB3BD7" w:rsidRDefault="00EB2F98" w:rsidP="00EB2F98">
      <w:pPr>
        <w:ind w:firstLine="0"/>
        <w:rPr>
          <w:rFonts w:ascii="Times New Roman" w:hAnsi="Times New Roman" w:cs="Times New Roman"/>
          <w:sz w:val="24"/>
          <w:szCs w:val="24"/>
        </w:rPr>
      </w:pPr>
      <w:r w:rsidRPr="00EB2F98">
        <w:rPr>
          <w:rFonts w:ascii="Times New Roman" w:hAnsi="Times New Roman" w:cs="Times New Roman"/>
          <w:sz w:val="24"/>
          <w:szCs w:val="24"/>
        </w:rPr>
        <w:fldChar w:fldCharType="end"/>
      </w:r>
    </w:p>
    <w:p w:rsidR="001A28D3" w:rsidRPr="00AA3ADC" w:rsidRDefault="001A28D3">
      <w:pPr>
        <w:rPr>
          <w:rFonts w:ascii="Times New Roman" w:hAnsi="Times New Roman" w:cs="Times New Roman"/>
          <w:sz w:val="24"/>
          <w:szCs w:val="24"/>
        </w:rPr>
      </w:pPr>
    </w:p>
    <w:sectPr w:rsidR="001A28D3" w:rsidRPr="00AA3ADC" w:rsidSect="00EB2F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17E" w:rsidRDefault="0046317E" w:rsidP="00EB2F98">
      <w:pPr>
        <w:spacing w:line="240" w:lineRule="auto"/>
      </w:pPr>
      <w:r>
        <w:separator/>
      </w:r>
    </w:p>
  </w:endnote>
  <w:endnote w:type="continuationSeparator" w:id="0">
    <w:p w:rsidR="0046317E" w:rsidRDefault="0046317E" w:rsidP="00EB2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17E" w:rsidRDefault="0046317E" w:rsidP="00EB2F98">
      <w:pPr>
        <w:spacing w:line="240" w:lineRule="auto"/>
      </w:pPr>
      <w:r>
        <w:separator/>
      </w:r>
    </w:p>
  </w:footnote>
  <w:footnote w:type="continuationSeparator" w:id="0">
    <w:p w:rsidR="0046317E" w:rsidRDefault="0046317E" w:rsidP="00EB2F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F98" w:rsidRPr="00EB2F98" w:rsidRDefault="00EB2F98" w:rsidP="00EB2F98">
    <w:pPr>
      <w:pStyle w:val="Header"/>
      <w:ind w:firstLine="0"/>
      <w:rPr>
        <w:rFonts w:ascii="Times New Roman" w:hAnsi="Times New Roman" w:cs="Times New Roman"/>
        <w:sz w:val="24"/>
        <w:szCs w:val="24"/>
      </w:rPr>
    </w:pPr>
    <w:r w:rsidRPr="00EB2F98">
      <w:rPr>
        <w:rFonts w:ascii="Times New Roman" w:hAnsi="Times New Roman" w:cs="Times New Roman"/>
        <w:sz w:val="24"/>
        <w:szCs w:val="24"/>
      </w:rPr>
      <w:t>EGALITARIAN AND HIERARCHICAL FAMILY RELATIONSHIPS</w:t>
    </w:r>
    <w:r w:rsidRPr="00EB2F98">
      <w:rPr>
        <w:rFonts w:ascii="Times New Roman" w:hAnsi="Times New Roman" w:cs="Times New Roman"/>
        <w:sz w:val="24"/>
        <w:szCs w:val="24"/>
      </w:rPr>
      <w:tab/>
    </w:r>
    <w:sdt>
      <w:sdtPr>
        <w:rPr>
          <w:rFonts w:ascii="Times New Roman" w:hAnsi="Times New Roman" w:cs="Times New Roman"/>
          <w:sz w:val="24"/>
          <w:szCs w:val="24"/>
        </w:rPr>
        <w:id w:val="-594553882"/>
        <w:docPartObj>
          <w:docPartGallery w:val="Page Numbers (Top of Page)"/>
          <w:docPartUnique/>
        </w:docPartObj>
      </w:sdtPr>
      <w:sdtEndPr>
        <w:rPr>
          <w:noProof/>
        </w:rPr>
      </w:sdtEndPr>
      <w:sdtContent>
        <w:r w:rsidRPr="00EB2F98">
          <w:rPr>
            <w:rFonts w:ascii="Times New Roman" w:hAnsi="Times New Roman" w:cs="Times New Roman"/>
            <w:sz w:val="24"/>
            <w:szCs w:val="24"/>
          </w:rPr>
          <w:fldChar w:fldCharType="begin"/>
        </w:r>
        <w:r w:rsidRPr="00EB2F98">
          <w:rPr>
            <w:rFonts w:ascii="Times New Roman" w:hAnsi="Times New Roman" w:cs="Times New Roman"/>
            <w:sz w:val="24"/>
            <w:szCs w:val="24"/>
          </w:rPr>
          <w:instrText xml:space="preserve"> PAGE   \* MERGEFORMAT </w:instrText>
        </w:r>
        <w:r w:rsidRPr="00EB2F98">
          <w:rPr>
            <w:rFonts w:ascii="Times New Roman" w:hAnsi="Times New Roman" w:cs="Times New Roman"/>
            <w:sz w:val="24"/>
            <w:szCs w:val="24"/>
          </w:rPr>
          <w:fldChar w:fldCharType="separate"/>
        </w:r>
        <w:r w:rsidRPr="00EB2F98">
          <w:rPr>
            <w:rFonts w:ascii="Times New Roman" w:hAnsi="Times New Roman" w:cs="Times New Roman"/>
            <w:noProof/>
            <w:sz w:val="24"/>
            <w:szCs w:val="24"/>
          </w:rPr>
          <w:t>2</w:t>
        </w:r>
        <w:r w:rsidRPr="00EB2F98">
          <w:rPr>
            <w:rFonts w:ascii="Times New Roman" w:hAnsi="Times New Roman" w:cs="Times New Roman"/>
            <w:noProof/>
            <w:sz w:val="24"/>
            <w:szCs w:val="24"/>
          </w:rPr>
          <w:fldChar w:fldCharType="end"/>
        </w:r>
      </w:sdtContent>
    </w:sdt>
  </w:p>
  <w:p w:rsidR="00EB2F98" w:rsidRDefault="00EB2F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F98" w:rsidRPr="00EB2F98" w:rsidRDefault="00EB2F98" w:rsidP="00EB2F98">
    <w:pPr>
      <w:pStyle w:val="Header"/>
      <w:ind w:firstLine="0"/>
      <w:rPr>
        <w:rFonts w:ascii="Times New Roman" w:hAnsi="Times New Roman" w:cs="Times New Roman"/>
        <w:sz w:val="24"/>
        <w:szCs w:val="24"/>
      </w:rPr>
    </w:pPr>
    <w:r w:rsidRPr="00EB2F98">
      <w:rPr>
        <w:rFonts w:ascii="Times New Roman" w:hAnsi="Times New Roman" w:cs="Times New Roman"/>
        <w:sz w:val="24"/>
        <w:szCs w:val="24"/>
      </w:rPr>
      <w:t>Running Head: EGALITARIAN AND HIERARCHICAL FAMILY RELATIONSHIPS</w:t>
    </w:r>
    <w:r w:rsidRPr="00EB2F98">
      <w:rPr>
        <w:rFonts w:ascii="Times New Roman" w:hAnsi="Times New Roman" w:cs="Times New Roman"/>
        <w:sz w:val="24"/>
        <w:szCs w:val="24"/>
      </w:rPr>
      <w:tab/>
    </w:r>
    <w:sdt>
      <w:sdtPr>
        <w:rPr>
          <w:rFonts w:ascii="Times New Roman" w:hAnsi="Times New Roman" w:cs="Times New Roman"/>
          <w:sz w:val="24"/>
          <w:szCs w:val="24"/>
        </w:rPr>
        <w:id w:val="1921674553"/>
        <w:docPartObj>
          <w:docPartGallery w:val="Page Numbers (Top of Page)"/>
          <w:docPartUnique/>
        </w:docPartObj>
      </w:sdtPr>
      <w:sdtEndPr>
        <w:rPr>
          <w:noProof/>
        </w:rPr>
      </w:sdtEndPr>
      <w:sdtContent>
        <w:r w:rsidRPr="00EB2F98">
          <w:rPr>
            <w:rFonts w:ascii="Times New Roman" w:hAnsi="Times New Roman" w:cs="Times New Roman"/>
            <w:sz w:val="24"/>
            <w:szCs w:val="24"/>
          </w:rPr>
          <w:fldChar w:fldCharType="begin"/>
        </w:r>
        <w:r w:rsidRPr="00EB2F98">
          <w:rPr>
            <w:rFonts w:ascii="Times New Roman" w:hAnsi="Times New Roman" w:cs="Times New Roman"/>
            <w:sz w:val="24"/>
            <w:szCs w:val="24"/>
          </w:rPr>
          <w:instrText xml:space="preserve"> PAGE   \* MERGEFORMAT </w:instrText>
        </w:r>
        <w:r w:rsidRPr="00EB2F98">
          <w:rPr>
            <w:rFonts w:ascii="Times New Roman" w:hAnsi="Times New Roman" w:cs="Times New Roman"/>
            <w:sz w:val="24"/>
            <w:szCs w:val="24"/>
          </w:rPr>
          <w:fldChar w:fldCharType="separate"/>
        </w:r>
        <w:r w:rsidRPr="00EB2F98">
          <w:rPr>
            <w:rFonts w:ascii="Times New Roman" w:hAnsi="Times New Roman" w:cs="Times New Roman"/>
            <w:noProof/>
            <w:sz w:val="24"/>
            <w:szCs w:val="24"/>
          </w:rPr>
          <w:t>2</w:t>
        </w:r>
        <w:r w:rsidRPr="00EB2F98">
          <w:rPr>
            <w:rFonts w:ascii="Times New Roman" w:hAnsi="Times New Roman" w:cs="Times New Roman"/>
            <w:noProof/>
            <w:sz w:val="24"/>
            <w:szCs w:val="24"/>
          </w:rPr>
          <w:fldChar w:fldCharType="end"/>
        </w:r>
      </w:sdtContent>
    </w:sdt>
  </w:p>
  <w:p w:rsidR="00EB2F98" w:rsidRPr="00EB2F98" w:rsidRDefault="00EB2F9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DC"/>
    <w:rsid w:val="000902FC"/>
    <w:rsid w:val="000F441B"/>
    <w:rsid w:val="001A28D3"/>
    <w:rsid w:val="001E6497"/>
    <w:rsid w:val="0046317E"/>
    <w:rsid w:val="004F0C0D"/>
    <w:rsid w:val="00523805"/>
    <w:rsid w:val="006C1EBA"/>
    <w:rsid w:val="0099376C"/>
    <w:rsid w:val="00A06FC7"/>
    <w:rsid w:val="00AA3ADC"/>
    <w:rsid w:val="00EB2F98"/>
    <w:rsid w:val="00EB3BD7"/>
    <w:rsid w:val="00F14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230DF"/>
  <w15:chartTrackingRefBased/>
  <w15:docId w15:val="{4B6783A5-6CE2-4876-A0CD-5E57824A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F98"/>
    <w:pPr>
      <w:tabs>
        <w:tab w:val="center" w:pos="4680"/>
        <w:tab w:val="right" w:pos="9360"/>
      </w:tabs>
      <w:spacing w:line="240" w:lineRule="auto"/>
    </w:pPr>
  </w:style>
  <w:style w:type="character" w:customStyle="1" w:styleId="HeaderChar">
    <w:name w:val="Header Char"/>
    <w:basedOn w:val="DefaultParagraphFont"/>
    <w:link w:val="Header"/>
    <w:uiPriority w:val="99"/>
    <w:rsid w:val="00EB2F98"/>
  </w:style>
  <w:style w:type="paragraph" w:styleId="Footer">
    <w:name w:val="footer"/>
    <w:basedOn w:val="Normal"/>
    <w:link w:val="FooterChar"/>
    <w:uiPriority w:val="99"/>
    <w:unhideWhenUsed/>
    <w:rsid w:val="00EB2F98"/>
    <w:pPr>
      <w:tabs>
        <w:tab w:val="center" w:pos="4680"/>
        <w:tab w:val="right" w:pos="9360"/>
      </w:tabs>
      <w:spacing w:line="240" w:lineRule="auto"/>
    </w:pPr>
  </w:style>
  <w:style w:type="character" w:customStyle="1" w:styleId="FooterChar">
    <w:name w:val="Footer Char"/>
    <w:basedOn w:val="DefaultParagraphFont"/>
    <w:link w:val="Footer"/>
    <w:uiPriority w:val="99"/>
    <w:rsid w:val="00EB2F98"/>
  </w:style>
  <w:style w:type="paragraph" w:styleId="Bibliography">
    <w:name w:val="Bibliography"/>
    <w:basedOn w:val="Normal"/>
    <w:next w:val="Normal"/>
    <w:uiPriority w:val="37"/>
    <w:unhideWhenUsed/>
    <w:rsid w:val="00EB2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538581">
      <w:bodyDiv w:val="1"/>
      <w:marLeft w:val="0"/>
      <w:marRight w:val="0"/>
      <w:marTop w:val="0"/>
      <w:marBottom w:val="0"/>
      <w:divBdr>
        <w:top w:val="none" w:sz="0" w:space="0" w:color="auto"/>
        <w:left w:val="none" w:sz="0" w:space="0" w:color="auto"/>
        <w:bottom w:val="none" w:sz="0" w:space="0" w:color="auto"/>
        <w:right w:val="none" w:sz="0" w:space="0" w:color="auto"/>
      </w:divBdr>
      <w:divsChild>
        <w:div w:id="1413116229">
          <w:marLeft w:val="0"/>
          <w:marRight w:val="0"/>
          <w:marTop w:val="0"/>
          <w:marBottom w:val="0"/>
          <w:divBdr>
            <w:top w:val="none" w:sz="0" w:space="0" w:color="auto"/>
            <w:left w:val="none" w:sz="0" w:space="0" w:color="auto"/>
            <w:bottom w:val="none" w:sz="0" w:space="0" w:color="auto"/>
            <w:right w:val="none" w:sz="0" w:space="0" w:color="auto"/>
          </w:divBdr>
        </w:div>
      </w:divsChild>
    </w:div>
    <w:div w:id="357661289">
      <w:bodyDiv w:val="1"/>
      <w:marLeft w:val="0"/>
      <w:marRight w:val="0"/>
      <w:marTop w:val="0"/>
      <w:marBottom w:val="0"/>
      <w:divBdr>
        <w:top w:val="none" w:sz="0" w:space="0" w:color="auto"/>
        <w:left w:val="none" w:sz="0" w:space="0" w:color="auto"/>
        <w:bottom w:val="none" w:sz="0" w:space="0" w:color="auto"/>
        <w:right w:val="none" w:sz="0" w:space="0" w:color="auto"/>
      </w:divBdr>
    </w:div>
    <w:div w:id="404839741">
      <w:bodyDiv w:val="1"/>
      <w:marLeft w:val="0"/>
      <w:marRight w:val="0"/>
      <w:marTop w:val="0"/>
      <w:marBottom w:val="0"/>
      <w:divBdr>
        <w:top w:val="none" w:sz="0" w:space="0" w:color="auto"/>
        <w:left w:val="none" w:sz="0" w:space="0" w:color="auto"/>
        <w:bottom w:val="none" w:sz="0" w:space="0" w:color="auto"/>
        <w:right w:val="none" w:sz="0" w:space="0" w:color="auto"/>
      </w:divBdr>
    </w:div>
    <w:div w:id="751196941">
      <w:bodyDiv w:val="1"/>
      <w:marLeft w:val="0"/>
      <w:marRight w:val="0"/>
      <w:marTop w:val="0"/>
      <w:marBottom w:val="0"/>
      <w:divBdr>
        <w:top w:val="none" w:sz="0" w:space="0" w:color="auto"/>
        <w:left w:val="none" w:sz="0" w:space="0" w:color="auto"/>
        <w:bottom w:val="none" w:sz="0" w:space="0" w:color="auto"/>
        <w:right w:val="none" w:sz="0" w:space="0" w:color="auto"/>
      </w:divBdr>
    </w:div>
    <w:div w:id="772239833">
      <w:bodyDiv w:val="1"/>
      <w:marLeft w:val="0"/>
      <w:marRight w:val="0"/>
      <w:marTop w:val="0"/>
      <w:marBottom w:val="0"/>
      <w:divBdr>
        <w:top w:val="none" w:sz="0" w:space="0" w:color="auto"/>
        <w:left w:val="none" w:sz="0" w:space="0" w:color="auto"/>
        <w:bottom w:val="none" w:sz="0" w:space="0" w:color="auto"/>
        <w:right w:val="none" w:sz="0" w:space="0" w:color="auto"/>
      </w:divBdr>
      <w:divsChild>
        <w:div w:id="1569268733">
          <w:marLeft w:val="0"/>
          <w:marRight w:val="0"/>
          <w:marTop w:val="0"/>
          <w:marBottom w:val="0"/>
          <w:divBdr>
            <w:top w:val="none" w:sz="0" w:space="0" w:color="auto"/>
            <w:left w:val="none" w:sz="0" w:space="0" w:color="auto"/>
            <w:bottom w:val="none" w:sz="0" w:space="0" w:color="auto"/>
            <w:right w:val="none" w:sz="0" w:space="0" w:color="auto"/>
          </w:divBdr>
        </w:div>
      </w:divsChild>
    </w:div>
    <w:div w:id="1230728698">
      <w:bodyDiv w:val="1"/>
      <w:marLeft w:val="0"/>
      <w:marRight w:val="0"/>
      <w:marTop w:val="0"/>
      <w:marBottom w:val="0"/>
      <w:divBdr>
        <w:top w:val="none" w:sz="0" w:space="0" w:color="auto"/>
        <w:left w:val="none" w:sz="0" w:space="0" w:color="auto"/>
        <w:bottom w:val="none" w:sz="0" w:space="0" w:color="auto"/>
        <w:right w:val="none" w:sz="0" w:space="0" w:color="auto"/>
      </w:divBdr>
    </w:div>
    <w:div w:id="1560090235">
      <w:bodyDiv w:val="1"/>
      <w:marLeft w:val="0"/>
      <w:marRight w:val="0"/>
      <w:marTop w:val="0"/>
      <w:marBottom w:val="0"/>
      <w:divBdr>
        <w:top w:val="none" w:sz="0" w:space="0" w:color="auto"/>
        <w:left w:val="none" w:sz="0" w:space="0" w:color="auto"/>
        <w:bottom w:val="none" w:sz="0" w:space="0" w:color="auto"/>
        <w:right w:val="none" w:sz="0" w:space="0" w:color="auto"/>
      </w:divBdr>
    </w:div>
    <w:div w:id="197305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Rol15</b:Tag>
    <b:SourceType>JournalArticle</b:SourceType>
    <b:Guid>{D47DB5B9-8780-4095-AC85-CD377BF42965}</b:Guid>
    <b:Title>Advancing family involvement in collaborative health care</b:Title>
    <b:Year>2015</b:Year>
    <b:Author>
      <b:Author>
        <b:NameList>
          <b:Person>
            <b:Last>Rolland</b:Last>
            <b:First>J</b:First>
          </b:Person>
        </b:NameList>
      </b:Author>
    </b:Author>
    <b:JournalName>Next steps</b:JournalName>
    <b:Pages> 104</b:Pages>
    <b:RefOrder>2</b:RefOrder>
  </b:Source>
  <b:Source>
    <b:Tag>Lau17</b:Tag>
    <b:SourceType>JournalArticle</b:SourceType>
    <b:Guid>{BF38E804-3245-4158-9071-71EC05ECB531}</b:Guid>
    <b:Author>
      <b:Author>
        <b:NameList>
          <b:Person>
            <b:Last>Laursen</b:Last>
            <b:First>B</b:First>
          </b:Person>
          <b:Person>
            <b:Last>Bukowski</b:Last>
            <b:First>W</b:First>
          </b:Person>
        </b:NameList>
      </b:Author>
    </b:Author>
    <b:Title>A developmental guide to the organisation of close relationships</b:Title>
    <b:JournalName>International Journal of Behavioral Development</b:JournalName>
    <b:Year>2017</b:Year>
    <b:Pages>47-70</b:Pages>
    <b:RefOrder>1</b:RefOrder>
  </b:Source>
  <b:Source>
    <b:Tag>Rob17</b:Tag>
    <b:SourceType>JournalArticle</b:SourceType>
    <b:Guid>{471CD11E-EC52-4F30-B977-AA96AE6E1038}</b:Guid>
    <b:Author>
      <b:Author>
        <b:NameList>
          <b:Person>
            <b:Last>Robert</b:Last>
            <b:First>L</b:First>
          </b:Person>
          <b:Person>
            <b:Last>Maureen</b:Last>
            <b:First>C</b:First>
          </b:Person>
          <b:Person>
            <b:Last>Adriana</b:Last>
            <b:First>G</b:First>
          </b:Person>
        </b:NameList>
      </b:Author>
    </b:Author>
    <b:Title>Myths and Misconceptions About LGBTQ Youth: School Counselors’ Role in Advocacy</b:Title>
    <b:JournalName> Journal of School Counseling</b:JournalName>
    <b:Year>2017</b:Year>
    <b:Pages>3-26</b:Pages>
    <b:RefOrder>3</b:RefOrder>
  </b:Source>
</b:Sources>
</file>

<file path=customXml/itemProps1.xml><?xml version="1.0" encoding="utf-8"?>
<ds:datastoreItem xmlns:ds="http://schemas.openxmlformats.org/officeDocument/2006/customXml" ds:itemID="{12DE2373-FD91-4741-B4C7-9B175422B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38</cp:revision>
  <dcterms:created xsi:type="dcterms:W3CDTF">2019-11-22T23:48:00Z</dcterms:created>
  <dcterms:modified xsi:type="dcterms:W3CDTF">2019-11-23T01:51:00Z</dcterms:modified>
</cp:coreProperties>
</file>